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D97" w:rsidRDefault="00904D97" w:rsidP="00904D97">
      <w:pPr>
        <w:pStyle w:val="1"/>
      </w:pPr>
      <w:bookmarkStart w:id="0" w:name="_Toc15613"/>
      <w:bookmarkStart w:id="1" w:name="_Toc3051"/>
      <w:bookmarkStart w:id="2" w:name="_Toc13268"/>
      <w:bookmarkStart w:id="3" w:name="_Toc24793"/>
      <w:bookmarkStart w:id="4" w:name="_Toc1537"/>
      <w:bookmarkStart w:id="5" w:name="_Toc30597"/>
      <w:r>
        <w:rPr>
          <w:rFonts w:hint="eastAsia"/>
        </w:rPr>
        <w:t>整体支出绩效目标申报表</w:t>
      </w:r>
      <w:bookmarkEnd w:id="0"/>
      <w:bookmarkEnd w:id="1"/>
      <w:bookmarkEnd w:id="2"/>
      <w:bookmarkEnd w:id="3"/>
      <w:bookmarkEnd w:id="4"/>
      <w:bookmarkEnd w:id="5"/>
    </w:p>
    <w:p w:rsidR="00904D97" w:rsidRDefault="00904D97" w:rsidP="00904D97">
      <w:pPr>
        <w:pStyle w:val="00-11"/>
      </w:pPr>
      <w:r>
        <w:rPr>
          <w:rFonts w:hint="eastAsia"/>
        </w:rPr>
        <w:t>（</w:t>
      </w:r>
      <w:r>
        <w:rPr>
          <w:rFonts w:hint="eastAsia"/>
        </w:rPr>
        <w:t>2026</w:t>
      </w:r>
      <w:r>
        <w:rPr>
          <w:rFonts w:hint="eastAsia"/>
        </w:rPr>
        <w:t>年度）</w:t>
      </w:r>
    </w:p>
    <w:p w:rsidR="00904D97" w:rsidRDefault="00904D97" w:rsidP="00904D97">
      <w:pPr>
        <w:pStyle w:val="00-11"/>
        <w:spacing w:line="240" w:lineRule="auto"/>
        <w:jc w:val="right"/>
        <w:rPr>
          <w:rFonts w:ascii="宋体" w:eastAsia="宋体" w:hAnsi="宋体" w:cs="宋体"/>
          <w:sz w:val="22"/>
          <w:szCs w:val="22"/>
        </w:rPr>
      </w:pPr>
      <w:r>
        <w:rPr>
          <w:rFonts w:ascii="宋体" w:eastAsia="宋体" w:hAnsi="宋体" w:cs="宋体" w:hint="eastAsia"/>
          <w:sz w:val="22"/>
          <w:szCs w:val="22"/>
        </w:rPr>
        <w:t>单位：万元</w:t>
      </w:r>
    </w:p>
    <w:tbl>
      <w:tblPr>
        <w:tblW w:w="9638" w:type="dxa"/>
        <w:jc w:val="center"/>
        <w:tblLook w:val="04A0" w:firstRow="1" w:lastRow="0" w:firstColumn="1" w:lastColumn="0" w:noHBand="0" w:noVBand="1"/>
      </w:tblPr>
      <w:tblGrid>
        <w:gridCol w:w="713"/>
        <w:gridCol w:w="903"/>
        <w:gridCol w:w="868"/>
        <w:gridCol w:w="1143"/>
        <w:gridCol w:w="1469"/>
        <w:gridCol w:w="1131"/>
        <w:gridCol w:w="1137"/>
        <w:gridCol w:w="1137"/>
        <w:gridCol w:w="1137"/>
      </w:tblGrid>
      <w:tr w:rsidR="00904D97" w:rsidTr="00092848">
        <w:trPr>
          <w:jc w:val="center"/>
        </w:trPr>
        <w:tc>
          <w:tcPr>
            <w:tcW w:w="2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spacing w:line="24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部门名称</w:t>
            </w:r>
          </w:p>
        </w:tc>
        <w:tc>
          <w:tcPr>
            <w:tcW w:w="71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spacing w:line="24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中国人民政治协商会议乐山市委员会办公室</w:t>
            </w:r>
          </w:p>
        </w:tc>
      </w:tr>
      <w:tr w:rsidR="00904D97" w:rsidTr="00092848">
        <w:trPr>
          <w:jc w:val="center"/>
        </w:trPr>
        <w:tc>
          <w:tcPr>
            <w:tcW w:w="2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年度部门整体预算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资金总额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财政拨款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其他资金</w:t>
            </w:r>
          </w:p>
        </w:tc>
      </w:tr>
      <w:tr w:rsidR="00904D97" w:rsidTr="00092848">
        <w:trPr>
          <w:jc w:val="center"/>
        </w:trPr>
        <w:tc>
          <w:tcPr>
            <w:tcW w:w="2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收入预算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2416.17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2416.17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spacing w:line="400" w:lineRule="exact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0.00</w:t>
            </w:r>
          </w:p>
        </w:tc>
      </w:tr>
      <w:tr w:rsidR="00904D97" w:rsidTr="00092848">
        <w:trPr>
          <w:jc w:val="center"/>
        </w:trPr>
        <w:tc>
          <w:tcPr>
            <w:tcW w:w="2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支出预算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2416.17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2416.17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spacing w:line="400" w:lineRule="exact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0.00</w:t>
            </w:r>
          </w:p>
        </w:tc>
      </w:tr>
      <w:tr w:rsidR="00904D97" w:rsidTr="00092848">
        <w:trPr>
          <w:jc w:val="center"/>
        </w:trPr>
        <w:tc>
          <w:tcPr>
            <w:tcW w:w="2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color w:val="auto"/>
              </w:rPr>
              <w:t>年度总体目标</w:t>
            </w:r>
          </w:p>
        </w:tc>
        <w:tc>
          <w:tcPr>
            <w:tcW w:w="71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充分发挥专门协商机构作用，认真履行政治协商、民主监督、参政议政职能，不断提升政协服务中心大局的贡献率，为推动乐山经济社会高质量发展广泛凝聚人心、凝聚共识、凝聚智慧、凝聚力量。进一步提升议政建言的质量水平，进一步发挥凝心聚力的独特优势，进一步提高政协履职的能力本领。保障市政协委员开展各项履职调研活动、市政协组织召开的各项重要会议、市委市政府安排的各项重要工作顺利完成。</w:t>
            </w:r>
          </w:p>
        </w:tc>
      </w:tr>
      <w:tr w:rsidR="00904D97" w:rsidTr="00092848">
        <w:trPr>
          <w:jc w:val="center"/>
        </w:trPr>
        <w:tc>
          <w:tcPr>
            <w:tcW w:w="96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管理效率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序号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一级</w:t>
            </w:r>
          </w:p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二级</w:t>
            </w:r>
          </w:p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三级指标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指标值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指标参考值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</w:p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</w:p>
        </w:tc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三年均值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2024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2025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成本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预算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管理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财政拨款预算偏离度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≤</w:t>
            </w:r>
            <w:r>
              <w:rPr>
                <w:color w:val="auto"/>
              </w:rPr>
              <w:t>3.9</w:t>
            </w:r>
            <w:r>
              <w:rPr>
                <w:rFonts w:hint="eastAsia"/>
                <w:color w:val="auto"/>
              </w:rPr>
              <w:t>%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18.34%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21.15%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18.11%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15.76%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成本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预算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管理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单位收入统筹度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成本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预算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管理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预算年终结余率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≤</w:t>
            </w:r>
            <w:r>
              <w:rPr>
                <w:color w:val="auto"/>
              </w:rPr>
              <w:t>2.5</w:t>
            </w:r>
            <w:r>
              <w:rPr>
                <w:rFonts w:hint="eastAsia"/>
                <w:color w:val="auto"/>
              </w:rPr>
              <w:t>%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6.51%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3.91%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5.67%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9.94%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成本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预算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管理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一般性支出金额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506.73万元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成本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财务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管理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财务管理规范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优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成本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资产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管理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资产配置预算偏离度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%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成本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采购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管理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采购执行率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  <w:r>
              <w:rPr>
                <w:color w:val="auto"/>
              </w:rPr>
              <w:t>100</w:t>
            </w:r>
            <w:r>
              <w:rPr>
                <w:rFonts w:hint="eastAsia"/>
                <w:color w:val="auto"/>
              </w:rPr>
              <w:t>%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right"/>
              <w:rPr>
                <w:color w:val="auto"/>
              </w:rPr>
            </w:pPr>
          </w:p>
        </w:tc>
      </w:tr>
      <w:tr w:rsidR="00904D97" w:rsidTr="00092848">
        <w:trPr>
          <w:jc w:val="center"/>
        </w:trPr>
        <w:tc>
          <w:tcPr>
            <w:tcW w:w="96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履职效能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序号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一级</w:t>
            </w:r>
          </w:p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二级</w:t>
            </w:r>
          </w:p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三级指标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color w:val="auto"/>
              </w:rPr>
              <w:t>指标值（包括数字及文字描述）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时效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任务完成时效期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小于等于12个月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服务委员履职尽责保障率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保障率大于等于85%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各项指标任务完成率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大于等于80%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保障运行单位个数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等于3个单位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会议协商和提案办理协商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大于等于9项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lastRenderedPageBreak/>
              <w:t>6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完成民主监督任务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大于等于3项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完成重要会议和重要工作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大于等于15项</w:t>
            </w:r>
          </w:p>
        </w:tc>
      </w:tr>
      <w:tr w:rsidR="00904D97" w:rsidTr="00092848">
        <w:trPr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rPr>
                <w:color w:val="auto"/>
              </w:rPr>
            </w:pP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产出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质量</w:t>
            </w:r>
          </w:p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指标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服务会议差错率</w:t>
            </w:r>
          </w:p>
        </w:tc>
        <w:tc>
          <w:tcPr>
            <w:tcW w:w="4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97" w:rsidRDefault="00904D97" w:rsidP="00092848">
            <w:pPr>
              <w:pStyle w:val="02-"/>
              <w:jc w:val="left"/>
              <w:rPr>
                <w:color w:val="auto"/>
              </w:rPr>
            </w:pPr>
            <w:r>
              <w:rPr>
                <w:color w:val="auto"/>
              </w:rPr>
              <w:t>小于等于5%</w:t>
            </w:r>
          </w:p>
        </w:tc>
      </w:tr>
    </w:tbl>
    <w:p w:rsidR="00904D97" w:rsidRDefault="00904D97" w:rsidP="00904D97">
      <w:pPr>
        <w:ind w:firstLine="640"/>
        <w:rPr>
          <w:rFonts w:cs="仿宋_GB2312"/>
        </w:rPr>
      </w:pPr>
      <w:r>
        <w:rPr>
          <w:rFonts w:cs="仿宋_GB2312"/>
        </w:rPr>
        <w:br w:type="page"/>
      </w:r>
    </w:p>
    <w:p w:rsidR="00945E89" w:rsidRDefault="00945E89">
      <w:pPr>
        <w:ind w:firstLine="640"/>
      </w:pPr>
      <w:bookmarkStart w:id="6" w:name="_GoBack"/>
      <w:bookmarkEnd w:id="6"/>
    </w:p>
    <w:sectPr w:rsidR="00945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044" w:rsidRDefault="002D7044" w:rsidP="00904D97">
      <w:pPr>
        <w:spacing w:line="240" w:lineRule="auto"/>
        <w:ind w:firstLine="640"/>
      </w:pPr>
      <w:r>
        <w:separator/>
      </w:r>
    </w:p>
  </w:endnote>
  <w:endnote w:type="continuationSeparator" w:id="0">
    <w:p w:rsidR="002D7044" w:rsidRDefault="002D7044" w:rsidP="00904D9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044" w:rsidRDefault="002D7044" w:rsidP="00904D97">
      <w:pPr>
        <w:spacing w:line="240" w:lineRule="auto"/>
        <w:ind w:firstLine="640"/>
      </w:pPr>
      <w:r>
        <w:separator/>
      </w:r>
    </w:p>
  </w:footnote>
  <w:footnote w:type="continuationSeparator" w:id="0">
    <w:p w:rsidR="002D7044" w:rsidRDefault="002D7044" w:rsidP="00904D97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82F"/>
    <w:rsid w:val="0000782F"/>
    <w:rsid w:val="002D7044"/>
    <w:rsid w:val="00904D97"/>
    <w:rsid w:val="0094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98A82B-3885-4FEF-9DE8-58216FC1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904D97"/>
    <w:pPr>
      <w:widowControl w:val="0"/>
      <w:suppressAutoHyphens/>
      <w:spacing w:line="600" w:lineRule="exact"/>
      <w:ind w:firstLineChars="200" w:firstLine="960"/>
      <w:jc w:val="both"/>
    </w:pPr>
    <w:rPr>
      <w:rFonts w:ascii="仿宋_GB2312" w:eastAsia="仿宋_GB2312" w:hAnsi="仿宋_GB2312" w:cs="Times New Roman"/>
      <w:sz w:val="32"/>
      <w:szCs w:val="24"/>
    </w:rPr>
  </w:style>
  <w:style w:type="paragraph" w:styleId="1">
    <w:name w:val="heading 1"/>
    <w:basedOn w:val="a"/>
    <w:next w:val="a"/>
    <w:link w:val="1Char"/>
    <w:autoRedefine/>
    <w:qFormat/>
    <w:rsid w:val="00904D97"/>
    <w:pPr>
      <w:spacing w:line="400" w:lineRule="exact"/>
      <w:ind w:firstLineChars="0" w:firstLine="0"/>
      <w:jc w:val="center"/>
      <w:outlineLvl w:val="0"/>
    </w:pPr>
    <w:rPr>
      <w:rFonts w:ascii="方正小标宋_GBK" w:eastAsia="方正小标宋_GBK" w:hAnsi="方正小标宋_GBK"/>
      <w:kern w:val="44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D97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D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D97"/>
    <w:pPr>
      <w:tabs>
        <w:tab w:val="center" w:pos="4153"/>
        <w:tab w:val="right" w:pos="8306"/>
      </w:tabs>
      <w:suppressAutoHyphens w:val="0"/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D97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904D97"/>
    <w:rPr>
      <w:rFonts w:ascii="方正小标宋_GBK" w:eastAsia="方正小标宋_GBK" w:hAnsi="方正小标宋_GBK" w:cs="Times New Roman"/>
      <w:kern w:val="44"/>
      <w:sz w:val="32"/>
      <w:szCs w:val="48"/>
    </w:rPr>
  </w:style>
  <w:style w:type="paragraph" w:customStyle="1" w:styleId="02-">
    <w:name w:val="02-表格内容"/>
    <w:basedOn w:val="a"/>
    <w:qFormat/>
    <w:rsid w:val="00904D97"/>
    <w:pPr>
      <w:widowControl/>
      <w:spacing w:line="280" w:lineRule="exact"/>
      <w:ind w:firstLineChars="0" w:firstLine="0"/>
      <w:jc w:val="center"/>
      <w:textAlignment w:val="center"/>
    </w:pPr>
    <w:rPr>
      <w:rFonts w:ascii="宋体" w:eastAsia="宋体" w:hAnsi="宋体"/>
      <w:color w:val="000000"/>
      <w:kern w:val="0"/>
      <w:sz w:val="20"/>
      <w:szCs w:val="22"/>
    </w:rPr>
  </w:style>
  <w:style w:type="paragraph" w:customStyle="1" w:styleId="00-11">
    <w:name w:val="00-11"/>
    <w:basedOn w:val="a"/>
    <w:autoRedefine/>
    <w:qFormat/>
    <w:rsid w:val="00904D97"/>
    <w:pPr>
      <w:spacing w:before="200" w:line="320" w:lineRule="exact"/>
      <w:ind w:firstLineChars="0" w:firstLine="0"/>
      <w:jc w:val="center"/>
    </w:pPr>
    <w:rPr>
      <w:rFonts w:eastAsia="楷体_GB2312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张婧姝</dc:creator>
  <cp:keywords/>
  <dc:description/>
  <cp:lastModifiedBy>张婧姝</cp:lastModifiedBy>
  <cp:revision>2</cp:revision>
  <dcterms:created xsi:type="dcterms:W3CDTF">2026-02-02T09:29:00Z</dcterms:created>
  <dcterms:modified xsi:type="dcterms:W3CDTF">2026-02-02T09:29:00Z</dcterms:modified>
</cp:coreProperties>
</file>